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D1" w:rsidRDefault="00360B9C">
      <w:pPr>
        <w:spacing w:before="240" w:line="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ISAL</w:t>
      </w:r>
    </w:p>
    <w:p w:rsidR="001257D1" w:rsidRDefault="00360B9C">
      <w:r>
        <w:pict w14:anchorId="3DD5FD20">
          <v:rect id="_x0000_i1025" style="width:0;height:1.5pt" o:hralign="center" o:hrstd="t" o:hr="t" fillcolor="#a0a0a0" stroked="f"/>
        </w:pict>
      </w:r>
    </w:p>
    <w:p w:rsidR="001257D1" w:rsidRDefault="001257D1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1" w:name="_i9jmafpvo1vq" w:colFirst="0" w:colLast="0"/>
      <w:bookmarkEnd w:id="1"/>
    </w:p>
    <w:tbl>
      <w:tblPr>
        <w:tblStyle w:val="a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257D1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7D1" w:rsidRDefault="00360B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básicos</w:t>
            </w:r>
          </w:p>
        </w:tc>
      </w:tr>
    </w:tbl>
    <w:p w:rsidR="001257D1" w:rsidRDefault="00360B9C">
      <w:pPr>
        <w:pStyle w:val="Ttulo1"/>
        <w:keepNext w:val="0"/>
        <w:keepLines w:val="0"/>
        <w:spacing w:before="0" w:after="0"/>
        <w:rPr>
          <w:b/>
          <w:sz w:val="24"/>
          <w:szCs w:val="24"/>
          <w:shd w:val="clear" w:color="auto" w:fill="CCCCCC"/>
        </w:rPr>
      </w:pPr>
      <w:bookmarkStart w:id="2" w:name="_lx9y2zoq9kgk" w:colFirst="0" w:colLast="0"/>
      <w:bookmarkEnd w:id="2"/>
      <w:r>
        <w:rPr>
          <w:b/>
          <w:sz w:val="24"/>
          <w:szCs w:val="24"/>
          <w:shd w:val="clear" w:color="auto" w:fill="CCCCCC"/>
        </w:rPr>
        <w:t xml:space="preserve">       </w:t>
      </w:r>
    </w:p>
    <w:p w:rsidR="001257D1" w:rsidRDefault="00360B9C">
      <w:pPr>
        <w:spacing w:after="140"/>
        <w:ind w:left="2976" w:right="800" w:hanging="2834"/>
      </w:pPr>
      <w:r>
        <w:t xml:space="preserve">Unidad Ejecutora: </w:t>
      </w:r>
      <w:r>
        <w:tab/>
        <w:t>Instituto de Salud y Ambiente del Litoral</w:t>
      </w:r>
    </w:p>
    <w:p w:rsidR="001257D1" w:rsidRDefault="00360B9C">
      <w:pPr>
        <w:spacing w:before="240" w:after="140"/>
        <w:ind w:left="140" w:right="800"/>
      </w:pPr>
      <w:r>
        <w:t xml:space="preserve">Directora Actual: </w:t>
      </w:r>
      <w:r>
        <w:tab/>
      </w:r>
      <w:r>
        <w:tab/>
        <w:t xml:space="preserve">Dra. Mónica Milagros </w:t>
      </w:r>
      <w:proofErr w:type="spellStart"/>
      <w:r>
        <w:t>Múñoz</w:t>
      </w:r>
      <w:proofErr w:type="spellEnd"/>
      <w:r>
        <w:t xml:space="preserve"> de Toro</w:t>
      </w:r>
    </w:p>
    <w:p w:rsidR="001257D1" w:rsidRDefault="00360B9C">
      <w:pPr>
        <w:ind w:left="140" w:right="800"/>
      </w:pPr>
      <w:r>
        <w:t xml:space="preserve">Domicilio: </w:t>
      </w:r>
      <w:r>
        <w:tab/>
      </w:r>
      <w:r>
        <w:tab/>
      </w:r>
      <w:r>
        <w:tab/>
        <w:t xml:space="preserve">Paraje El Pozo s/n </w:t>
      </w:r>
    </w:p>
    <w:p w:rsidR="001257D1" w:rsidRDefault="00360B9C">
      <w:pPr>
        <w:spacing w:before="240" w:after="140"/>
        <w:ind w:left="140" w:right="800"/>
      </w:pPr>
      <w:r>
        <w:t xml:space="preserve">Código Postal: </w:t>
      </w:r>
      <w:r>
        <w:tab/>
      </w:r>
      <w:r>
        <w:tab/>
        <w:t>3000</w:t>
      </w:r>
    </w:p>
    <w:p w:rsidR="001257D1" w:rsidRDefault="00360B9C">
      <w:pPr>
        <w:spacing w:before="240" w:after="140"/>
        <w:ind w:left="140" w:right="800"/>
      </w:pPr>
      <w:r>
        <w:t xml:space="preserve">Localidad: </w:t>
      </w:r>
      <w:r>
        <w:tab/>
      </w:r>
      <w:r>
        <w:tab/>
      </w:r>
      <w:r>
        <w:tab/>
        <w:t xml:space="preserve">Santa Fe </w:t>
      </w:r>
    </w:p>
    <w:p w:rsidR="001257D1" w:rsidRDefault="00360B9C">
      <w:pPr>
        <w:spacing w:before="240" w:after="140"/>
        <w:ind w:left="140" w:right="800"/>
      </w:pPr>
      <w:r>
        <w:t xml:space="preserve">Teléfono: </w:t>
      </w:r>
      <w:r>
        <w:tab/>
      </w:r>
      <w:r>
        <w:tab/>
      </w:r>
      <w:r>
        <w:tab/>
        <w:t>0342-457-5207</w:t>
      </w:r>
    </w:p>
    <w:p w:rsidR="001257D1" w:rsidRDefault="00360B9C">
      <w:pPr>
        <w:spacing w:before="240" w:after="140"/>
        <w:ind w:left="140" w:right="800"/>
      </w:pPr>
      <w:r>
        <w:t xml:space="preserve">Correo electrónico: </w:t>
      </w:r>
      <w:r>
        <w:tab/>
      </w:r>
      <w:r>
        <w:tab/>
        <w:t>isal@fbcb.unl.edu.ar</w:t>
      </w:r>
    </w:p>
    <w:p w:rsidR="001257D1" w:rsidRDefault="00360B9C">
      <w:pPr>
        <w:spacing w:before="240" w:after="140"/>
        <w:ind w:left="140" w:right="800"/>
        <w:rPr>
          <w:rFonts w:ascii="Roboto" w:eastAsia="Roboto" w:hAnsi="Roboto" w:cs="Roboto"/>
          <w:b/>
          <w:color w:val="0053A2"/>
          <w:sz w:val="24"/>
          <w:szCs w:val="24"/>
          <w:highlight w:val="white"/>
        </w:rPr>
      </w:pPr>
      <w:r>
        <w:t>Página web:</w:t>
      </w:r>
      <w:r>
        <w:tab/>
      </w:r>
      <w:r>
        <w:tab/>
      </w:r>
      <w:r>
        <w:tab/>
        <w:t xml:space="preserve">https://isal.conicet.gov.ar/ </w:t>
      </w:r>
    </w:p>
    <w:tbl>
      <w:tblPr>
        <w:tblStyle w:val="a0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257D1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7D1" w:rsidRDefault="00360B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 Área del Conocimiento</w:t>
            </w:r>
          </w:p>
        </w:tc>
      </w:tr>
    </w:tbl>
    <w:p w:rsidR="001257D1" w:rsidRDefault="00360B9C">
      <w:pPr>
        <w:spacing w:before="240" w:after="140" w:line="240" w:lineRule="auto"/>
        <w:ind w:right="800"/>
      </w:pPr>
      <w:r>
        <w:t>Ciencias Biológicas y de la Salud - KB</w:t>
      </w:r>
    </w:p>
    <w:p w:rsidR="001257D1" w:rsidRDefault="001257D1">
      <w:pPr>
        <w:spacing w:line="240" w:lineRule="auto"/>
        <w:ind w:right="800"/>
      </w:pPr>
    </w:p>
    <w:tbl>
      <w:tblPr>
        <w:tblStyle w:val="a1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257D1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7D1" w:rsidRDefault="00360B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</w:t>
            </w:r>
          </w:p>
        </w:tc>
      </w:tr>
    </w:tbl>
    <w:p w:rsidR="001257D1" w:rsidRDefault="00360B9C">
      <w:pPr>
        <w:numPr>
          <w:ilvl w:val="0"/>
          <w:numId w:val="2"/>
        </w:numPr>
        <w:spacing w:before="200"/>
        <w:ind w:right="800"/>
      </w:pPr>
      <w:r>
        <w:t>Ciencias Biológicas</w:t>
      </w:r>
    </w:p>
    <w:p w:rsidR="001257D1" w:rsidRDefault="00360B9C">
      <w:pPr>
        <w:numPr>
          <w:ilvl w:val="0"/>
          <w:numId w:val="2"/>
        </w:numPr>
        <w:ind w:right="800"/>
      </w:pPr>
      <w:r>
        <w:t>Biotecnología del Medio Ambiente</w:t>
      </w:r>
    </w:p>
    <w:p w:rsidR="001257D1" w:rsidRDefault="00360B9C">
      <w:pPr>
        <w:numPr>
          <w:ilvl w:val="0"/>
          <w:numId w:val="2"/>
        </w:numPr>
        <w:ind w:right="800"/>
      </w:pPr>
      <w:r>
        <w:t>Ciencias de la Salud</w:t>
      </w:r>
    </w:p>
    <w:p w:rsidR="001257D1" w:rsidRDefault="00360B9C">
      <w:pPr>
        <w:numPr>
          <w:ilvl w:val="0"/>
          <w:numId w:val="2"/>
        </w:numPr>
        <w:ind w:right="800"/>
      </w:pPr>
      <w:r>
        <w:t>Medicina Básica</w:t>
      </w:r>
    </w:p>
    <w:p w:rsidR="001257D1" w:rsidRDefault="00360B9C">
      <w:pPr>
        <w:numPr>
          <w:ilvl w:val="0"/>
          <w:numId w:val="2"/>
        </w:numPr>
        <w:ind w:right="800"/>
      </w:pPr>
      <w:r>
        <w:t>Medicina Clínica</w:t>
      </w:r>
    </w:p>
    <w:p w:rsidR="001257D1" w:rsidRDefault="001257D1">
      <w:pPr>
        <w:ind w:right="800"/>
      </w:pPr>
    </w:p>
    <w:tbl>
      <w:tblPr>
        <w:tblStyle w:val="a2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257D1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7D1" w:rsidRDefault="00360B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generales</w:t>
            </w:r>
          </w:p>
        </w:tc>
      </w:tr>
    </w:tbl>
    <w:p w:rsidR="001257D1" w:rsidRDefault="00360B9C">
      <w:pPr>
        <w:pStyle w:val="Ttulo1"/>
        <w:keepNext w:val="0"/>
        <w:keepLines w:val="0"/>
        <w:spacing w:before="200" w:after="200"/>
        <w:jc w:val="both"/>
        <w:rPr>
          <w:b/>
          <w:sz w:val="24"/>
          <w:szCs w:val="24"/>
          <w:shd w:val="clear" w:color="auto" w:fill="CCCCCC"/>
        </w:rPr>
      </w:pPr>
      <w:bookmarkStart w:id="3" w:name="_wfej04fcf6l4" w:colFirst="0" w:colLast="0"/>
      <w:bookmarkEnd w:id="3"/>
      <w:r>
        <w:rPr>
          <w:sz w:val="22"/>
          <w:szCs w:val="22"/>
        </w:rPr>
        <w:t>El ISAL se orienta al fortalecimiento de la investigación y el desarrollo en las ciencias de la salud y su relación con el ambiente para contribuir al avance del conocimiento, la transferencia del mismo a la comunidad y la resolución de problemas. Contribu</w:t>
      </w:r>
      <w:r>
        <w:rPr>
          <w:sz w:val="22"/>
          <w:szCs w:val="22"/>
        </w:rPr>
        <w:t>ye a la formación de recursos humanos abocados a la investigación y la docencia.</w:t>
      </w:r>
    </w:p>
    <w:tbl>
      <w:tblPr>
        <w:tblStyle w:val="a3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257D1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7D1" w:rsidRDefault="00360B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Líneas de investigación</w:t>
            </w:r>
          </w:p>
        </w:tc>
      </w:tr>
    </w:tbl>
    <w:p w:rsidR="001257D1" w:rsidRDefault="00360B9C">
      <w:pPr>
        <w:numPr>
          <w:ilvl w:val="0"/>
          <w:numId w:val="1"/>
        </w:numPr>
        <w:spacing w:before="240"/>
        <w:ind w:right="800"/>
      </w:pPr>
      <w:r>
        <w:t>Sistema reproductor del yacaré overo (</w:t>
      </w:r>
      <w:proofErr w:type="spellStart"/>
      <w:r>
        <w:t>Caiman</w:t>
      </w:r>
      <w:proofErr w:type="spellEnd"/>
      <w:r>
        <w:t xml:space="preserve"> </w:t>
      </w:r>
      <w:proofErr w:type="spellStart"/>
      <w:r>
        <w:t>latirostris</w:t>
      </w:r>
      <w:proofErr w:type="spellEnd"/>
      <w:r>
        <w:t xml:space="preserve">) </w:t>
      </w:r>
    </w:p>
    <w:p w:rsidR="001257D1" w:rsidRDefault="00360B9C">
      <w:pPr>
        <w:numPr>
          <w:ilvl w:val="0"/>
          <w:numId w:val="1"/>
        </w:numPr>
        <w:ind w:right="800"/>
      </w:pPr>
      <w:r>
        <w:t>Monitoreo de contaminantes con acción hormonal usando levaduras transgénicas</w:t>
      </w:r>
    </w:p>
    <w:p w:rsidR="001257D1" w:rsidRDefault="00360B9C">
      <w:pPr>
        <w:numPr>
          <w:ilvl w:val="0"/>
          <w:numId w:val="1"/>
        </w:numPr>
        <w:ind w:right="800"/>
      </w:pPr>
      <w:r>
        <w:lastRenderedPageBreak/>
        <w:t xml:space="preserve">Efectos de la exposición a contaminantes hormonalmente activos sobre la salud reproductiva </w:t>
      </w:r>
    </w:p>
    <w:p w:rsidR="001257D1" w:rsidRDefault="00360B9C">
      <w:pPr>
        <w:numPr>
          <w:ilvl w:val="0"/>
          <w:numId w:val="1"/>
        </w:numPr>
        <w:ind w:right="800"/>
      </w:pPr>
      <w:r>
        <w:t>Perturbadores endocrinos y fisiopatología de la glándula mamaria</w:t>
      </w:r>
    </w:p>
    <w:p w:rsidR="001257D1" w:rsidRDefault="00360B9C">
      <w:pPr>
        <w:numPr>
          <w:ilvl w:val="0"/>
          <w:numId w:val="1"/>
        </w:numPr>
        <w:ind w:right="800"/>
      </w:pPr>
      <w:proofErr w:type="spellStart"/>
      <w:r>
        <w:t>Neuroesteroidogénesis</w:t>
      </w:r>
      <w:proofErr w:type="spellEnd"/>
      <w:r>
        <w:t xml:space="preserve">, ambiente y obesidad </w:t>
      </w:r>
    </w:p>
    <w:p w:rsidR="001257D1" w:rsidRDefault="00360B9C">
      <w:pPr>
        <w:numPr>
          <w:ilvl w:val="0"/>
          <w:numId w:val="1"/>
        </w:numPr>
        <w:ind w:right="800"/>
      </w:pPr>
      <w:r>
        <w:t>Fertilidad y ambiente</w:t>
      </w:r>
    </w:p>
    <w:p w:rsidR="001257D1" w:rsidRDefault="00360B9C">
      <w:pPr>
        <w:numPr>
          <w:ilvl w:val="0"/>
          <w:numId w:val="1"/>
        </w:numPr>
        <w:ind w:right="800"/>
      </w:pPr>
      <w:proofErr w:type="spellStart"/>
      <w:r>
        <w:t>Hiperandrogenismo</w:t>
      </w:r>
      <w:proofErr w:type="spellEnd"/>
      <w:r>
        <w:t xml:space="preserve"> y útero</w:t>
      </w:r>
    </w:p>
    <w:p w:rsidR="001257D1" w:rsidRDefault="00360B9C">
      <w:pPr>
        <w:numPr>
          <w:ilvl w:val="0"/>
          <w:numId w:val="1"/>
        </w:numPr>
        <w:ind w:right="800"/>
      </w:pPr>
      <w:r>
        <w:t>Producc</w:t>
      </w:r>
      <w:r>
        <w:t xml:space="preserve">ión de proteínas recombinantes y anticuerpos monoclonales y </w:t>
      </w:r>
      <w:proofErr w:type="spellStart"/>
      <w:r>
        <w:t>policlonales</w:t>
      </w:r>
      <w:proofErr w:type="spellEnd"/>
    </w:p>
    <w:p w:rsidR="001257D1" w:rsidRDefault="00360B9C">
      <w:pPr>
        <w:numPr>
          <w:ilvl w:val="0"/>
          <w:numId w:val="1"/>
        </w:numPr>
        <w:ind w:right="800"/>
      </w:pPr>
      <w:r>
        <w:t>Estrógenos ambientales y su impacto sobre el desarrollo de células germinales y la respuesta inmune de la gestación</w:t>
      </w:r>
    </w:p>
    <w:p w:rsidR="001257D1" w:rsidRDefault="00360B9C">
      <w:pPr>
        <w:numPr>
          <w:ilvl w:val="0"/>
          <w:numId w:val="1"/>
        </w:numPr>
        <w:spacing w:after="140"/>
        <w:ind w:right="800"/>
      </w:pPr>
      <w:r>
        <w:t>ADN plasmático libre de células. Evaluar su utilidad en el diagnóst</w:t>
      </w:r>
      <w:r>
        <w:t xml:space="preserve">ico prenatal y en enfermedades </w:t>
      </w:r>
      <w:proofErr w:type="spellStart"/>
      <w:r>
        <w:t>mieloproliferativas</w:t>
      </w:r>
      <w:proofErr w:type="spellEnd"/>
      <w:r>
        <w:t xml:space="preserve"> </w:t>
      </w:r>
    </w:p>
    <w:p w:rsidR="001257D1" w:rsidRDefault="001257D1">
      <w:pPr>
        <w:spacing w:before="240"/>
        <w:ind w:right="800"/>
      </w:pPr>
    </w:p>
    <w:tbl>
      <w:tblPr>
        <w:tblStyle w:val="a4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257D1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7D1" w:rsidRDefault="00360B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Infraestructura edilicia</w:t>
            </w:r>
          </w:p>
        </w:tc>
      </w:tr>
    </w:tbl>
    <w:p w:rsidR="001257D1" w:rsidRDefault="00360B9C">
      <w:pPr>
        <w:spacing w:before="240"/>
        <w:ind w:right="800"/>
      </w:pPr>
      <w:proofErr w:type="gramStart"/>
      <w:r>
        <w:t>Total</w:t>
      </w:r>
      <w:proofErr w:type="gramEnd"/>
      <w:r>
        <w:t xml:space="preserve"> m² construido: 300</w:t>
      </w:r>
    </w:p>
    <w:p w:rsidR="001257D1" w:rsidRDefault="00360B9C">
      <w:pPr>
        <w:spacing w:before="240"/>
        <w:ind w:right="800"/>
        <w:rPr>
          <w:sz w:val="24"/>
          <w:szCs w:val="24"/>
        </w:rPr>
      </w:pPr>
      <w:proofErr w:type="gramStart"/>
      <w:r>
        <w:t>Total</w:t>
      </w:r>
      <w:proofErr w:type="gramEnd"/>
      <w:r>
        <w:t xml:space="preserve"> m² terreno: 380</w:t>
      </w:r>
    </w:p>
    <w:p w:rsidR="001257D1" w:rsidRDefault="001257D1">
      <w:pPr>
        <w:pStyle w:val="Ttulo1"/>
        <w:keepNext w:val="0"/>
        <w:keepLines w:val="0"/>
        <w:spacing w:before="0"/>
        <w:rPr>
          <w:b/>
          <w:sz w:val="24"/>
          <w:szCs w:val="24"/>
          <w:shd w:val="clear" w:color="auto" w:fill="CCCCCC"/>
        </w:rPr>
      </w:pPr>
      <w:bookmarkStart w:id="4" w:name="_5cwnym1h0j80" w:colFirst="0" w:colLast="0"/>
      <w:bookmarkEnd w:id="4"/>
    </w:p>
    <w:tbl>
      <w:tblPr>
        <w:tblStyle w:val="a5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257D1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7D1" w:rsidRDefault="00360B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humanos (según Memoria 2022)</w:t>
            </w:r>
          </w:p>
        </w:tc>
      </w:tr>
    </w:tbl>
    <w:p w:rsidR="001257D1" w:rsidRDefault="00360B9C">
      <w:pPr>
        <w:spacing w:before="240"/>
        <w:ind w:right="800"/>
      </w:pPr>
      <w:r>
        <w:t>Personal de la Unidad Ejecutora. Total: 38</w:t>
      </w:r>
    </w:p>
    <w:p w:rsidR="001257D1" w:rsidRDefault="00360B9C">
      <w:pPr>
        <w:spacing w:before="240"/>
        <w:ind w:right="800"/>
      </w:pPr>
      <w:r>
        <w:t>Investigadores CONICET: 15</w:t>
      </w:r>
    </w:p>
    <w:p w:rsidR="001257D1" w:rsidRDefault="00360B9C">
      <w:pPr>
        <w:spacing w:before="240"/>
        <w:ind w:right="800"/>
      </w:pPr>
      <w:r>
        <w:t>CONICET Contratados: 1</w:t>
      </w:r>
    </w:p>
    <w:p w:rsidR="001257D1" w:rsidRDefault="00360B9C">
      <w:pPr>
        <w:spacing w:before="240"/>
        <w:ind w:right="800"/>
      </w:pPr>
      <w:r>
        <w:t>Becarios CONICET: 13</w:t>
      </w:r>
    </w:p>
    <w:p w:rsidR="001257D1" w:rsidRDefault="00360B9C">
      <w:pPr>
        <w:spacing w:before="240"/>
        <w:ind w:right="800"/>
      </w:pPr>
      <w:r>
        <w:t>Contratado No CONICET: 5</w:t>
      </w:r>
    </w:p>
    <w:p w:rsidR="001257D1" w:rsidRDefault="00360B9C">
      <w:pPr>
        <w:spacing w:before="240"/>
        <w:ind w:right="800"/>
      </w:pPr>
      <w:r>
        <w:t>Personal de Apoyo CONICET: 3</w:t>
      </w:r>
    </w:p>
    <w:p w:rsidR="001257D1" w:rsidRDefault="00360B9C">
      <w:pPr>
        <w:spacing w:before="240"/>
        <w:ind w:right="800"/>
      </w:pPr>
      <w:r>
        <w:t>Otras categorías CONICET</w:t>
      </w:r>
      <w:r>
        <w:rPr>
          <w:sz w:val="20"/>
          <w:szCs w:val="20"/>
        </w:rPr>
        <w:t>: 1</w:t>
      </w:r>
    </w:p>
    <w:p w:rsidR="001257D1" w:rsidRDefault="001257D1"/>
    <w:p w:rsidR="001257D1" w:rsidRDefault="001257D1"/>
    <w:sectPr w:rsidR="001257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236"/>
    <w:multiLevelType w:val="multilevel"/>
    <w:tmpl w:val="E7EE58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722986"/>
    <w:multiLevelType w:val="multilevel"/>
    <w:tmpl w:val="46E410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D1"/>
    <w:rsid w:val="001257D1"/>
    <w:rsid w:val="003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42663E-2391-4FE8-9F9C-6B7C444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DDDB836B</Template>
  <TotalTime>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Pawliska</dc:creator>
  <cp:lastModifiedBy>Andrea Maria Pawliska</cp:lastModifiedBy>
  <cp:revision>2</cp:revision>
  <dcterms:created xsi:type="dcterms:W3CDTF">2023-10-05T14:02:00Z</dcterms:created>
  <dcterms:modified xsi:type="dcterms:W3CDTF">2023-10-05T14:02:00Z</dcterms:modified>
</cp:coreProperties>
</file>