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3.9199829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2400512695312" w:right="0" w:firstLine="0"/>
        <w:jc w:val="left"/>
        <w:rPr>
          <w:b w:val="1"/>
          <w:color w:val="c54592"/>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2400512695312" w:right="0" w:firstLine="0"/>
        <w:jc w:val="left"/>
        <w:rPr>
          <w:b w:val="1"/>
          <w:color w:val="c54592"/>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2400512695312" w:right="0" w:firstLine="0"/>
        <w:jc w:val="left"/>
        <w:rPr>
          <w:rFonts w:ascii="Arial" w:cs="Arial" w:eastAsia="Arial" w:hAnsi="Arial"/>
          <w:b w:val="1"/>
          <w:i w:val="0"/>
          <w:smallCaps w:val="0"/>
          <w:strike w:val="0"/>
          <w:color w:val="c54592"/>
          <w:sz w:val="24"/>
          <w:szCs w:val="24"/>
          <w:u w:val="none"/>
          <w:shd w:fill="auto" w:val="clear"/>
          <w:vertAlign w:val="baseline"/>
        </w:rPr>
      </w:pPr>
      <w:r w:rsidDel="00000000" w:rsidR="00000000" w:rsidRPr="00000000">
        <w:rPr>
          <w:rFonts w:ascii="Arial" w:cs="Arial" w:eastAsia="Arial" w:hAnsi="Arial"/>
          <w:b w:val="1"/>
          <w:i w:val="0"/>
          <w:smallCaps w:val="0"/>
          <w:strike w:val="0"/>
          <w:color w:val="c54592"/>
          <w:sz w:val="24"/>
          <w:szCs w:val="24"/>
          <w:u w:val="none"/>
          <w:shd w:fill="auto" w:val="clear"/>
          <w:vertAlign w:val="baseline"/>
          <w:rtl w:val="0"/>
        </w:rPr>
        <w:t xml:space="preserve">PLANTILLA MODELO PARA PRESENTACIÓN DE RESUMEN EXTENDIDO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8310546875" w:line="213.91483783721924" w:lineRule="auto"/>
        <w:ind w:left="1082.080078125" w:right="1338.4014892578125" w:firstLine="0"/>
        <w:jc w:val="center"/>
        <w:rPr>
          <w:rFonts w:ascii="Arial" w:cs="Arial" w:eastAsia="Arial" w:hAnsi="Arial"/>
          <w:b w:val="1"/>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SÁBALOS, VULNERABLES A LAS NANOPARTÍCULAS DE PLATA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Ale, Analia</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Apellido, Nombre</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046142578125"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Instituto Nacional de Limnología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INALI</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Lugar de trabajo correspondiente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9.479980468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Director/a: Pérez, Martina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Codirector/a: Gonzales, María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402832031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c54592"/>
          <w:sz w:val="18"/>
          <w:szCs w:val="18"/>
          <w:u w:val="none"/>
          <w:shd w:fill="auto" w:val="clear"/>
          <w:vertAlign w:val="baseline"/>
          <w:rtl w:val="0"/>
        </w:rPr>
        <w:t xml:space="preserve">Área: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Biológicas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39453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Palabras claves: Sábalos, Investigación, Nanopartículas.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39453125" w:line="240" w:lineRule="auto"/>
        <w:ind w:left="0" w:right="0" w:firstLine="0"/>
        <w:jc w:val="center"/>
        <w:rPr>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0" w:right="4018.3221435546875" w:firstLine="0"/>
        <w:jc w:val="right"/>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INTRODUCCIÓN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64892578125" w:line="228.89362335205078" w:lineRule="auto"/>
        <w:ind w:left="120.5279541015625" w:right="310.7812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universo de lo que se vende como “antibacterial” parece no tener fin: jabones, desodorantes,  dentífricos, ropa y la lista continúa. La plata en partículas tamaño nano suele ser el factor  común en estos ítems ya que es una forma eficiente de aprovechar las propiedades  antimicrobianas de la plata con cantidades mínimas de metal. Sin embargo, más producción y  más consumo, también implica más partículas diminutas –de escala nanométrica- de plata  llegando al ambiente. Una investigación de la Universidad Nacional del Litoral (UNL) y el  Conicet indagó sobre sus efectos en sábalos y describió una variedad de impactos fisiológicos.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4189453125" w:line="240" w:lineRule="auto"/>
        <w:ind w:left="0" w:right="0" w:firstLine="0"/>
        <w:jc w:val="center"/>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OBJETIVOS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30.34306049346924" w:lineRule="auto"/>
        <w:ind w:left="847.5135803222656" w:right="316.87255859375" w:hanging="363.231964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Comprobar si el nanometal puede llegar a los cuerpos de agua a través de los efluentes  industriales y domiciliarios.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077880859375" w:line="240" w:lineRule="auto"/>
        <w:ind w:left="484.2816162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Investigar los efectos significativos en los peces expuestos.</w:t>
      </w:r>
    </w:p>
    <w:tbl>
      <w:tblPr>
        <w:tblStyle w:val="Table1"/>
        <w:tblW w:w="9889.5205688476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9.520568847656"/>
        <w:tblGridChange w:id="0">
          <w:tblGrid>
            <w:gridCol w:w="9889.520568847656"/>
          </w:tblGrid>
        </w:tblGridChange>
      </w:tblGrid>
      <w:tr>
        <w:trPr>
          <w:cantSplit w:val="0"/>
          <w:trHeight w:val="1780.71868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132.89276123046875" w:right="1202.7239990234375" w:hanging="17.00164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Título del proyecto: SÁBALOS, VULNERABLES A LAS NANOPARTÍCULAS DE PLATA Instrumento: PICT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21026611328125" w:line="240" w:lineRule="auto"/>
              <w:ind w:left="115.89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Año convocatoria: 2019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Organismo financiador: CONICET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68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Director/a: Pérez, Martina </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60083007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7.3550415039062" w:right="0" w:firstLine="0"/>
        <w:jc w:val="left"/>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METODOLOGÍA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426708221436" w:lineRule="auto"/>
        <w:ind w:left="121.4111328125" w:right="310.445556640625" w:firstLine="0.4415893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cause daños neurológicos en los peces es una propiedad bastante nueva que no es  característica de la plata”, explicó la becaria de investigación del Instituto Nacional de  Limnología (INALI) dependiente de la UNL y el Conicet. “Se trata de propiedades intrínsecas  por la forma de nanopartículas” (Analía Ale, 2019).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4189453125" w:line="240" w:lineRule="auto"/>
        <w:ind w:left="129.5808410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Efectos en los sábalos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39228534698486" w:lineRule="auto"/>
        <w:ind w:left="115.67031860351562" w:right="311.871337890625" w:firstLine="16.1184692382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la investigación se expusieron peces a diferentes concentraciones de nanopartículas de  plata en el agua, en dos lapsos de tiempo. Como ocurre con los metales, la plata no se degrada  sino que se bioacumula y por ello es posible encontrarla en los órganos a los que llega. “El  hígado es el órgano target donde más efectos tóxicos vemos, pero también los vimos en una  variedad de órganos, hasta el cerebro”, destacó.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69140625" w:line="229.61797714233398" w:lineRule="auto"/>
        <w:ind w:left="119.86557006835938" w:right="311.34765625" w:firstLine="10.3776550292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 efecto que pudieron observar -y el más conocido de este tipo de partículas- es el estrés  oxidativo. También, al analizar las branquias se evidenciaron alteraciones en el tejido. “Este  daño histológico ya no es una alerta temprana, sino que indica un nivel de daño más severo”,  señaló Ale. </w:t>
      </w:r>
      <w:r w:rsidDel="00000000" w:rsidR="00000000" w:rsidRPr="00000000">
        <w:drawing>
          <wp:anchor allowOverlap="1" behindDoc="0" distB="19050" distT="19050" distL="19050" distR="19050" hidden="0" layoutInCell="1" locked="0" relativeHeight="0" simplePos="0">
            <wp:simplePos x="0" y="0"/>
            <wp:positionH relativeFrom="column">
              <wp:posOffset>2163480</wp:posOffset>
            </wp:positionH>
            <wp:positionV relativeFrom="paragraph">
              <wp:posOffset>527812</wp:posOffset>
            </wp:positionV>
            <wp:extent cx="3945890" cy="2951480"/>
            <wp:effectExtent b="0" l="0" r="0" t="0"/>
            <wp:wrapSquare wrapText="left" distB="19050" distT="19050" distL="19050" distR="1905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45890" cy="295148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77685546875" w:line="240" w:lineRule="auto"/>
        <w:ind w:left="131.788787841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Finalmente, se evaluó el efecto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la nanoplata y sus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06384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propiedades antibióticas tiene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5700683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sobre la mucosa que recubre 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3536376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peces y cuyas bacterias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actúan como una primera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94702148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barrera de defensa. “En los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06384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peces expuestos a las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94702148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nanopartículas de plata las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43310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unidades formadoras 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319274902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colonias bacterianas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disminuyeron drásticamente, lo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genera situaciones 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634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vulnerabilidad y afecta la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calidad de vida de los peces”,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3536376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indicó.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2669677734375" w:line="240" w:lineRule="auto"/>
        <w:ind w:left="458.39981079101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Figura 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Equipo de trabajo del INALI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0" w:right="0" w:firstLine="0"/>
        <w:jc w:val="center"/>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CONCLUSIONES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701416015625" w:line="229.07512664794922" w:lineRule="auto"/>
        <w:ind w:left="121.63192749023438" w:right="314.2773437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investigación se realizó en sábalos, esta especie nativa mostró ser muy sensible a las  nanopartículas de plata. “Nos gusta comparar las especies, sobre todo en nuestro sistema que  es tan rico en peces, y aunque sea un problema mundial, hay poca información que incluye  nuestras especies nativas”, contó Ale.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34375" w:line="228.6946964263916" w:lineRule="auto"/>
        <w:ind w:left="120.5279541015625" w:right="310.550537109375" w:firstLine="9.052886962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investigación en peces conjuga dos aspectos de interés, por un lado es un recurso  alimenticio y por otro, colabora con el monitoreo del ambiente ya que son bioindicadores  epresentativos del estrés ambiental. “El pez reacciona rápidamente, mucho antes que un  organismo de mayor porte demuestre efectos. Estas especies test permiten una alerta temprana  que se puede extrapolar a otros organismos más resistentes o más robustos”, detalló.</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0716552734375" w:line="240" w:lineRule="auto"/>
        <w:ind w:left="0" w:right="1664.60083007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45304870605" w:lineRule="auto"/>
        <w:ind w:left="112.79998779296875" w:right="312.87841796875" w:firstLine="18.9888000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Entender que los productos con nanoplata no son inocuos para el ambiente y apelar a un  consumo responsable parece ser la premisa ante estos resultados. “Hay que tomar conciencia  del impacto ambiental de las decisiones y acciones cotidianas”, subrayó Ale. A esto se suma que las nanopartículas de plata, al igual que todo lo “nano”, no tiene una  regulación específica. “Se busca generar conciencia en las autoridades de regulación para  establecer por lo menos límites de exposición a través de diferentes medidas estandarizadas”,  concluyó.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4189453125" w:line="240" w:lineRule="auto"/>
        <w:ind w:left="0" w:right="0" w:firstLine="0"/>
        <w:jc w:val="center"/>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BIBLIOGRAFÍA BÁSICA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33.64123344421387" w:lineRule="auto"/>
        <w:ind w:left="129.93118286132812" w:right="325.018310546875" w:hanging="1.99203491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Barrero Ripoll, 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2006. Generación de Nanopartículas de Estructura Compleja por Medios  Electrohidrodinámicos. Editorial Universidad De Sevilla-Secretariado De Publicaciones, España.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2.211303710938" w:line="240" w:lineRule="auto"/>
        <w:ind w:left="0" w:right="1664.600830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283.46456692913387" w:top="924.0944881889765" w:left="1303.9370078740158" w:right="1043.149606299212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rPr/>
    </w:pPr>
    <w:r w:rsidDel="00000000" w:rsidR="00000000" w:rsidRPr="00000000">
      <w:rPr/>
      <w:drawing>
        <wp:inline distB="114300" distT="114300" distL="114300" distR="114300">
          <wp:extent cx="6279846" cy="93980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279846" cy="939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7">
    <w:pPr>
      <w:shd w:fill="ffffff" w:val="clear"/>
      <w:rPr>
        <w:rFonts w:ascii="Lato" w:cs="Lato" w:eastAsia="Lato" w:hAnsi="Lato"/>
        <w:color w:val="222222"/>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142875</wp:posOffset>
          </wp:positionV>
          <wp:extent cx="1963990" cy="90487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3990" cy="904875"/>
                  </a:xfrm>
                  <a:prstGeom prst="rect"/>
                  <a:ln/>
                </pic:spPr>
              </pic:pic>
            </a:graphicData>
          </a:graphic>
        </wp:anchor>
      </w:drawing>
    </w:r>
  </w:p>
  <w:p w:rsidR="00000000" w:rsidDel="00000000" w:rsidP="00000000" w:rsidRDefault="00000000" w:rsidRPr="00000000" w14:paraId="00000038">
    <w:pPr>
      <w:shd w:fill="ffffff" w:val="clear"/>
      <w:rPr>
        <w:rFonts w:ascii="Lato" w:cs="Lato" w:eastAsia="Lato" w:hAnsi="Lato"/>
        <w:color w:val="222222"/>
        <w:sz w:val="16"/>
        <w:szCs w:val="16"/>
      </w:rPr>
    </w:pPr>
    <w:r w:rsidDel="00000000" w:rsidR="00000000" w:rsidRPr="00000000">
      <w:rPr>
        <w:rtl w:val="0"/>
      </w:rPr>
    </w:r>
  </w:p>
  <w:p w:rsidR="00000000" w:rsidDel="00000000" w:rsidP="00000000" w:rsidRDefault="00000000" w:rsidRPr="00000000" w14:paraId="00000039">
    <w:pPr>
      <w:shd w:fill="ffffff" w:val="clear"/>
      <w:rPr>
        <w:rFonts w:ascii="Lato" w:cs="Lato" w:eastAsia="Lato" w:hAnsi="Lato"/>
        <w:color w:val="002863"/>
        <w:sz w:val="16"/>
        <w:szCs w:val="16"/>
      </w:rPr>
    </w:pPr>
    <w:r w:rsidDel="00000000" w:rsidR="00000000" w:rsidRPr="00000000">
      <w:rPr>
        <w:rtl w:val="0"/>
      </w:rPr>
    </w:r>
  </w:p>
  <w:p w:rsidR="00000000" w:rsidDel="00000000" w:rsidP="00000000" w:rsidRDefault="00000000" w:rsidRPr="00000000" w14:paraId="0000003A">
    <w:pPr>
      <w:shd w:fill="ffffff" w:val="clear"/>
      <w:rPr>
        <w:rFonts w:ascii="Lato" w:cs="Lato" w:eastAsia="Lato" w:hAnsi="Lato"/>
        <w:b w:val="1"/>
        <w:color w:val="002863"/>
        <w:sz w:val="14"/>
        <w:szCs w:val="14"/>
      </w:rPr>
    </w:pPr>
    <w:r w:rsidDel="00000000" w:rsidR="00000000" w:rsidRPr="00000000">
      <w:rPr>
        <w:rtl w:val="0"/>
      </w:rPr>
    </w:r>
  </w:p>
  <w:p w:rsidR="00000000" w:rsidDel="00000000" w:rsidP="00000000" w:rsidRDefault="00000000" w:rsidRPr="00000000" w14:paraId="0000003B">
    <w:pPr>
      <w:shd w:fill="ffffff" w:val="clear"/>
      <w:rPr>
        <w:rFonts w:ascii="Lato" w:cs="Lato" w:eastAsia="Lato" w:hAnsi="Lato"/>
        <w:b w:val="1"/>
        <w:color w:val="002863"/>
        <w:sz w:val="16"/>
        <w:szCs w:val="16"/>
      </w:rPr>
    </w:pPr>
    <w:r w:rsidDel="00000000" w:rsidR="00000000" w:rsidRPr="00000000">
      <w:rPr>
        <w:rFonts w:ascii="Lato" w:cs="Lato" w:eastAsia="Lato" w:hAnsi="Lato"/>
        <w:b w:val="1"/>
        <w:color w:val="002863"/>
        <w:sz w:val="16"/>
        <w:szCs w:val="16"/>
        <w:rtl w:val="0"/>
      </w:rPr>
      <w:t xml:space="preserve">XXVII Encuentro de Jóvenes Jóvenes Investigadores</w:t>
    </w:r>
  </w:p>
  <w:p w:rsidR="00000000" w:rsidDel="00000000" w:rsidP="00000000" w:rsidRDefault="00000000" w:rsidRPr="00000000" w14:paraId="0000003C">
    <w:pPr>
      <w:shd w:fill="ffffff" w:val="clear"/>
      <w:rPr>
        <w:rFonts w:ascii="Lato" w:cs="Lato" w:eastAsia="Lato" w:hAnsi="Lato"/>
        <w:color w:val="002863"/>
        <w:sz w:val="16"/>
        <w:szCs w:val="16"/>
      </w:rPr>
    </w:pPr>
    <w:r w:rsidDel="00000000" w:rsidR="00000000" w:rsidRPr="00000000">
      <w:rPr>
        <w:rFonts w:ascii="Lato" w:cs="Lato" w:eastAsia="Lato" w:hAnsi="Lato"/>
        <w:color w:val="002863"/>
        <w:sz w:val="16"/>
        <w:szCs w:val="16"/>
        <w:rtl w:val="0"/>
      </w:rPr>
      <w:t xml:space="preserve">1 al 4 de octubre de 2024 | Santa Fe Argentina</w:t>
    </w:r>
  </w:p>
  <w:p w:rsidR="00000000" w:rsidDel="00000000" w:rsidP="00000000" w:rsidRDefault="00000000" w:rsidRPr="00000000" w14:paraId="0000003D">
    <w:pPr>
      <w:shd w:fill="ffffff" w:val="clear"/>
      <w:rPr>
        <w:rFonts w:ascii="Lato" w:cs="Lato" w:eastAsia="Lato" w:hAnsi="Lato"/>
        <w:color w:val="002863"/>
        <w:sz w:val="14"/>
        <w:szCs w:val="14"/>
      </w:rPr>
    </w:pPr>
    <w:r w:rsidDel="00000000" w:rsidR="00000000" w:rsidRPr="00000000">
      <w:rPr>
        <w:rtl w:val="0"/>
      </w:rPr>
    </w:r>
  </w:p>
  <w:p w:rsidR="00000000" w:rsidDel="00000000" w:rsidP="00000000" w:rsidRDefault="00000000" w:rsidRPr="00000000" w14:paraId="0000003E">
    <w:pPr>
      <w:shd w:fill="ffffff" w:val="clear"/>
      <w:rPr>
        <w:rFonts w:ascii="Lato" w:cs="Lato" w:eastAsia="Lato" w:hAnsi="Lato"/>
        <w:color w:val="002863"/>
        <w:sz w:val="14"/>
        <w:szCs w:val="1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9gsHf5Y66Xlh3hZ58rhjxjE4w==">CgMxLjA4AHIhMVEyRF9Ldk4tRF9MNWhZOXhCXy16NHBUd0JxZGd0QUZF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